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A5" w:rsidRPr="008857DE" w:rsidRDefault="007D16A5" w:rsidP="007D16A5">
      <w:pPr>
        <w:jc w:val="center"/>
      </w:pPr>
      <w:r w:rsidRPr="008857DE">
        <w:t>LV Koksnes ķīmijas institūta</w:t>
      </w:r>
    </w:p>
    <w:p w:rsidR="007D16A5" w:rsidRPr="008857DE" w:rsidRDefault="007D16A5" w:rsidP="007D16A5">
      <w:pPr>
        <w:jc w:val="center"/>
        <w:rPr>
          <w:rStyle w:val="Strong"/>
        </w:rPr>
      </w:pPr>
      <w:r>
        <w:rPr>
          <w:rStyle w:val="Strong"/>
        </w:rPr>
        <w:t>Atklāta konkursa</w:t>
      </w:r>
    </w:p>
    <w:p w:rsidR="007D16A5" w:rsidRDefault="007D16A5" w:rsidP="007D16A5">
      <w:pPr>
        <w:jc w:val="center"/>
        <w:rPr>
          <w:rStyle w:val="Strong"/>
        </w:rPr>
      </w:pPr>
      <w:r w:rsidRPr="007D16A5">
        <w:rPr>
          <w:rStyle w:val="Strong"/>
        </w:rPr>
        <w:t>Reaģentu un materiālu iegāde ERAF projekta “Izmeklētas uz modeli bāzētas substrāta piebarošanas ātruma kontroles sistēmas ar prognozi izstrāde rekombinantu un ne-rekombinantu mikroorganismu fermentācijas procesu produktivitātes uzlabošanai” Nr. 1.1.1.2/VIAA/1/16/186 izpildei</w:t>
      </w:r>
    </w:p>
    <w:p w:rsidR="007D16A5" w:rsidRDefault="007D16A5" w:rsidP="007D16A5">
      <w:pPr>
        <w:jc w:val="center"/>
        <w:rPr>
          <w:rStyle w:val="Strong"/>
        </w:rPr>
      </w:pPr>
      <w:r w:rsidRPr="00547649">
        <w:rPr>
          <w:rStyle w:val="Strong"/>
        </w:rPr>
        <w:t>Nr. LV KĶI-2017/</w:t>
      </w:r>
      <w:r>
        <w:rPr>
          <w:rStyle w:val="Strong"/>
        </w:rPr>
        <w:t>18</w:t>
      </w:r>
      <w:r w:rsidRPr="00547649">
        <w:rPr>
          <w:rStyle w:val="Strong"/>
        </w:rPr>
        <w:t>-AK</w:t>
      </w:r>
      <w:r>
        <w:rPr>
          <w:rStyle w:val="Strong"/>
        </w:rPr>
        <w:t>-ERAF</w:t>
      </w:r>
    </w:p>
    <w:p w:rsidR="007D16A5" w:rsidRDefault="007D16A5" w:rsidP="007D16A5">
      <w:pPr>
        <w:jc w:val="center"/>
      </w:pPr>
      <w:r>
        <w:t>A</w:t>
      </w:r>
      <w:r w:rsidRPr="008857DE">
        <w:t>tbildes</w:t>
      </w:r>
      <w:r>
        <w:t xml:space="preserve"> uz</w:t>
      </w:r>
      <w:r w:rsidRPr="008857DE">
        <w:t xml:space="preserve"> </w:t>
      </w:r>
      <w:r>
        <w:t>i</w:t>
      </w:r>
      <w:r w:rsidRPr="008857DE">
        <w:t xml:space="preserve">einteresētā </w:t>
      </w:r>
      <w:r>
        <w:t>pretendenta</w:t>
      </w:r>
      <w:r w:rsidRPr="008857DE">
        <w:t xml:space="preserve"> jautājum</w:t>
      </w:r>
      <w:r>
        <w:t>iem</w:t>
      </w:r>
      <w:r w:rsidRPr="008857DE">
        <w:t xml:space="preserve"> </w:t>
      </w:r>
    </w:p>
    <w:p w:rsidR="007D16A5" w:rsidRPr="008857DE" w:rsidRDefault="007D16A5" w:rsidP="007D16A5">
      <w:pPr>
        <w:jc w:val="center"/>
      </w:pPr>
      <w:r w:rsidRPr="008857DE">
        <w:t>201</w:t>
      </w:r>
      <w:r>
        <w:t>8</w:t>
      </w:r>
      <w:r w:rsidRPr="008857DE">
        <w:t xml:space="preserve">. gada </w:t>
      </w:r>
      <w:r>
        <w:t>02</w:t>
      </w:r>
      <w:r w:rsidRPr="008857DE">
        <w:t xml:space="preserve">. </w:t>
      </w:r>
      <w:r>
        <w:t>janvārī</w:t>
      </w:r>
    </w:p>
    <w:p w:rsidR="007D16A5" w:rsidRPr="008857DE" w:rsidRDefault="007D16A5" w:rsidP="007D16A5"/>
    <w:p w:rsidR="007D16A5" w:rsidRPr="008857DE" w:rsidRDefault="007D16A5" w:rsidP="007D16A5">
      <w:pPr>
        <w:ind w:firstLine="720"/>
        <w:jc w:val="both"/>
      </w:pPr>
      <w:r w:rsidRPr="008857DE">
        <w:t xml:space="preserve">No ieinteresētā </w:t>
      </w:r>
      <w:r>
        <w:t>pretendenta</w:t>
      </w:r>
      <w:r w:rsidRPr="008857DE">
        <w:t xml:space="preserve"> tika saņemt</w:t>
      </w:r>
      <w:r>
        <w:t>s</w:t>
      </w:r>
      <w:r w:rsidRPr="008857DE">
        <w:t xml:space="preserve"> sekojoš</w:t>
      </w:r>
      <w:r>
        <w:t>s</w:t>
      </w:r>
      <w:r w:rsidRPr="008857DE">
        <w:t xml:space="preserve"> jautājum</w:t>
      </w:r>
      <w:r>
        <w:t>s</w:t>
      </w:r>
      <w:r w:rsidRPr="008857DE">
        <w:t xml:space="preserve"> par iepirkuma Nr. LV KĶI-201</w:t>
      </w:r>
      <w:r>
        <w:t>7</w:t>
      </w:r>
      <w:r w:rsidRPr="008857DE">
        <w:t>/</w:t>
      </w:r>
      <w:r>
        <w:t>1</w:t>
      </w:r>
      <w:r>
        <w:t>8</w:t>
      </w:r>
      <w:r>
        <w:t>-AK</w:t>
      </w:r>
      <w:r>
        <w:t>-ERAF</w:t>
      </w:r>
      <w:r w:rsidRPr="008857DE">
        <w:t xml:space="preserve"> </w:t>
      </w:r>
      <w:r>
        <w:t>Nolikumā</w:t>
      </w:r>
      <w:r w:rsidRPr="008857DE">
        <w:t xml:space="preserve"> iekļautajām prasībām.</w:t>
      </w:r>
    </w:p>
    <w:p w:rsidR="007D16A5" w:rsidRDefault="007D16A5" w:rsidP="007D16A5">
      <w:pPr>
        <w:ind w:firstLine="720"/>
        <w:jc w:val="both"/>
      </w:pPr>
      <w:r w:rsidRPr="00FB2927">
        <w:rPr>
          <w:b/>
        </w:rPr>
        <w:t>Jautājum</w:t>
      </w:r>
      <w:r>
        <w:rPr>
          <w:b/>
        </w:rPr>
        <w:t>s</w:t>
      </w:r>
      <w:r w:rsidRPr="00FB2927">
        <w:rPr>
          <w:b/>
        </w:rPr>
        <w:t>:</w:t>
      </w:r>
      <w:r>
        <w:rPr>
          <w:b/>
        </w:rPr>
        <w:t xml:space="preserve"> </w:t>
      </w:r>
      <w:r>
        <w:t>Vai ir atļauts piedāvāt tilpumu, kurš ir lielāks par specifikācijā noteikto? Piemēram, kādai pozīcijai 2L tilpu</w:t>
      </w:r>
      <w:r>
        <w:t xml:space="preserve">ms vietā piedāvāt tilpumu 2,5L? </w:t>
      </w:r>
      <w:r>
        <w:t>Vai ir atļauts piedāvāt divus mazākus iepakojumus, lai sasniegtu apjomu, kurš norādīts specifikācijā? Piemēram, 1kg vietā 2x500g un cenu aprēķināt pēc 2x500g summas?</w:t>
      </w:r>
    </w:p>
    <w:p w:rsidR="007D16A5" w:rsidRDefault="007D16A5" w:rsidP="007D16A5">
      <w:pPr>
        <w:ind w:firstLine="720"/>
      </w:pPr>
      <w:r w:rsidRPr="00FB2927">
        <w:rPr>
          <w:b/>
        </w:rPr>
        <w:t>Atbilde:</w:t>
      </w:r>
      <w:r w:rsidRPr="00FB2927">
        <w:t xml:space="preserve"> </w:t>
      </w:r>
      <w:r>
        <w:t xml:space="preserve">Nolikuma tehniskās specifikācijas “Vispārīgo noteikumu” 1.3. punktā ir noteikts, </w:t>
      </w:r>
      <w:r w:rsidRPr="00720742">
        <w:t xml:space="preserve">ka Ailē “Iepakojums” norādīts </w:t>
      </w:r>
      <w:r w:rsidRPr="007D16A5">
        <w:rPr>
          <w:b/>
        </w:rPr>
        <w:t>maksimālais</w:t>
      </w:r>
      <w:r w:rsidRPr="00720742">
        <w:t xml:space="preserve"> pieļaujamais viena iepakojuma apjoms, ko pretendents var komplektēt saskaņā ar “Tehniskā un finanšu piedāvājuma forma” 2. atsaucē norādīto.</w:t>
      </w:r>
      <w:r w:rsidRPr="005844DE">
        <w:t xml:space="preserve"> </w:t>
      </w:r>
    </w:p>
    <w:p w:rsidR="007D16A5" w:rsidRDefault="007D16A5" w:rsidP="007D16A5">
      <w:pPr>
        <w:ind w:firstLine="720"/>
        <w:jc w:val="both"/>
      </w:pPr>
      <w:r>
        <w:t>Tehniskā un finanšu piedāvājuma 2. atsaucē ir norādīts, ka ailē “Vienas vienības cena EUR bez PVN</w:t>
      </w:r>
      <w:r w:rsidRPr="005844DE">
        <w:t xml:space="preserve"> pretendents norāda, kādos neatvērtos iepakojumos veidojas  tehniskajā specifikācijā noteiktais iepakojuma (vienas vienības) apjoms, kas attiecas uz pozīcijām, kurās tas iespējams. Pretendents, iesniedzot piedāvājumu, ir tiesīgs piedāvāt arī mazākus iepakojumus (bet arī tiem ir jābūt neatvērtiem iepakojumiem tā, lai Pasūtītājs varētu identificēt preci, piemēram, pēc pretendenta tehniskajā piedāvājumā norādītā kataloga koda tajās pozīcijās, kurās tas iespējams, tomēr kopējam iepakojumu skaitam summāri ir jānodrošina tehniskajā specifikācijā norādīto viena iepakojuma daudzumu (piemēram,  ja pasūtītāja norādītais 1 iepakojums ir 1000 ml, tad pretendents var piedāvāt mazākus iepakojumus, piemēram 500 ml+500 ml, 100 mlx10 u.c. iepakojumu kombinācijas). Pretendentam precīzi jānorāda minētās iepakojumu apjoma kombinācijas.</w:t>
      </w:r>
    </w:p>
    <w:p w:rsidR="007D16A5" w:rsidRDefault="007D16A5" w:rsidP="007D16A5">
      <w:pPr>
        <w:ind w:firstLine="720"/>
        <w:jc w:val="both"/>
      </w:pPr>
      <w:r>
        <w:t>Ņemot vērā iepriekšminēto informējam, ka pretendentam nav atļauts piedāvāt tilpumu, kas lielāks par tehniskajā specifikācijā norādīto.</w:t>
      </w:r>
    </w:p>
    <w:p w:rsidR="007D16A5" w:rsidRDefault="007D16A5" w:rsidP="007D16A5">
      <w:pPr>
        <w:ind w:firstLine="720"/>
        <w:jc w:val="both"/>
        <w:rPr>
          <w:b/>
        </w:rPr>
      </w:pPr>
      <w:r w:rsidRPr="007D16A5">
        <w:rPr>
          <w:b/>
        </w:rPr>
        <w:t>Jautājums:</w:t>
      </w:r>
      <w:r w:rsidRPr="007D16A5">
        <w:rPr>
          <w:b/>
        </w:rPr>
        <w:t xml:space="preserve"> </w:t>
      </w:r>
      <w:r>
        <w:t>Iepirkuma 1.daļas pozīcijās Nr.25 (šļirces filtri gāzēm) un Nr.26 (filtri gāzēm) specifikācijā ir prasība "Sterili". Ražotāja katalogā (mājaslapā) norādītajiem produktu numuriem ir minēts "</w:t>
      </w:r>
      <w:proofErr w:type="spellStart"/>
      <w:r>
        <w:t>Nonsterile</w:t>
      </w:r>
      <w:proofErr w:type="spellEnd"/>
      <w:r>
        <w:t>"/nesterils. Vai prasība "Sterils" ir jāņem vērā, vai arī piedāvājums jādod par norādītajiem produktiem/analogiem? Piemērs: </w:t>
      </w:r>
      <w:hyperlink r:id="rId5" w:history="1">
        <w:r>
          <w:rPr>
            <w:rStyle w:val="Hyperlink"/>
          </w:rPr>
          <w:t>https://www.coleparmer.com/i/cole-parmer-ptfe-nonsterile-syringe-filters-0-20-micron-25-mm-dia/0291520?searchterm=EW-02915-20</w:t>
        </w:r>
      </w:hyperlink>
      <w:r>
        <w:br/>
      </w:r>
    </w:p>
    <w:p w:rsidR="007D16A5" w:rsidRDefault="007D16A5" w:rsidP="007D16A5">
      <w:pPr>
        <w:ind w:firstLine="720"/>
        <w:jc w:val="both"/>
      </w:pPr>
      <w:r w:rsidRPr="007D16A5">
        <w:rPr>
          <w:b/>
        </w:rPr>
        <w:t>Atbilde:</w:t>
      </w:r>
      <w:r w:rsidRPr="00FB2927">
        <w:t xml:space="preserve"> </w:t>
      </w:r>
      <w:r w:rsidRPr="005844DE">
        <w:t xml:space="preserve">1.daļas pozīcijās Nr.25 (šļirces filtri gāzēm) un Nr.26 (filtri gāzēm) </w:t>
      </w:r>
      <w:r>
        <w:t xml:space="preserve">pretendents var piedāvāt arī </w:t>
      </w:r>
      <w:r w:rsidRPr="007D16A5">
        <w:rPr>
          <w:b/>
        </w:rPr>
        <w:t>nesterilus</w:t>
      </w:r>
      <w:r>
        <w:t xml:space="preserve"> šļirču filtrus un filtrus.</w:t>
      </w:r>
      <w:r w:rsidRPr="005844DE">
        <w:t xml:space="preserve"> </w:t>
      </w:r>
    </w:p>
    <w:p w:rsidR="007D16A5" w:rsidRDefault="007D16A5" w:rsidP="007D16A5">
      <w:pPr>
        <w:ind w:firstLine="720"/>
        <w:jc w:val="both"/>
      </w:pPr>
    </w:p>
    <w:p w:rsidR="007D16A5" w:rsidRPr="008857DE" w:rsidRDefault="007D16A5" w:rsidP="007D16A5">
      <w:r w:rsidRPr="008857DE">
        <w:t>Sagatavoja:</w:t>
      </w:r>
    </w:p>
    <w:p w:rsidR="007D16A5" w:rsidRPr="008857DE" w:rsidRDefault="007D16A5" w:rsidP="007D16A5">
      <w:r w:rsidRPr="008857DE">
        <w:t>LV Koksnes ķīmijas institūta</w:t>
      </w:r>
    </w:p>
    <w:p w:rsidR="007D16A5" w:rsidRPr="008857DE" w:rsidRDefault="007D16A5" w:rsidP="007D16A5">
      <w:r w:rsidRPr="008857DE">
        <w:t>Iepirkumu komisijas sekretāre</w:t>
      </w:r>
    </w:p>
    <w:p w:rsidR="007D16A5" w:rsidRPr="008857DE" w:rsidRDefault="007D16A5" w:rsidP="007D16A5">
      <w:r w:rsidRPr="008857DE">
        <w:t>I.Ušacka</w:t>
      </w:r>
    </w:p>
    <w:p w:rsidR="00BA60D8" w:rsidRDefault="00BA60D8">
      <w:bookmarkStart w:id="0" w:name="_GoBack"/>
      <w:bookmarkEnd w:id="0"/>
    </w:p>
    <w:sectPr w:rsidR="00BA60D8" w:rsidSect="00F93FAA">
      <w:headerReference w:type="first" r:id="rId6"/>
      <w:pgSz w:w="12240" w:h="15840"/>
      <w:pgMar w:top="567"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7A0" w:rsidRDefault="007D16A5" w:rsidP="001717A0">
    <w:pPr>
      <w:pStyle w:val="Header"/>
    </w:pPr>
  </w:p>
  <w:p w:rsidR="001717A0" w:rsidRDefault="007D16A5" w:rsidP="001717A0">
    <w:pPr>
      <w:pStyle w:val="Header"/>
    </w:pPr>
  </w:p>
  <w:p w:rsidR="001717A0" w:rsidRDefault="007D16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E4A64"/>
    <w:multiLevelType w:val="hybridMultilevel"/>
    <w:tmpl w:val="57F482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9F451F7"/>
    <w:multiLevelType w:val="multilevel"/>
    <w:tmpl w:val="71844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A5"/>
    <w:rsid w:val="007D16A5"/>
    <w:rsid w:val="00BA60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0716"/>
  <w15:chartTrackingRefBased/>
  <w15:docId w15:val="{6D78E11C-BBBD-4F9B-8624-23165FE1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6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16A5"/>
    <w:pPr>
      <w:tabs>
        <w:tab w:val="center" w:pos="4153"/>
        <w:tab w:val="right" w:pos="8306"/>
      </w:tabs>
    </w:pPr>
  </w:style>
  <w:style w:type="character" w:customStyle="1" w:styleId="HeaderChar">
    <w:name w:val="Header Char"/>
    <w:basedOn w:val="DefaultParagraphFont"/>
    <w:link w:val="Header"/>
    <w:rsid w:val="007D16A5"/>
    <w:rPr>
      <w:rFonts w:ascii="Times New Roman" w:eastAsia="Times New Roman" w:hAnsi="Times New Roman" w:cs="Times New Roman"/>
      <w:sz w:val="24"/>
      <w:szCs w:val="24"/>
    </w:rPr>
  </w:style>
  <w:style w:type="character" w:styleId="Strong">
    <w:name w:val="Strong"/>
    <w:basedOn w:val="DefaultParagraphFont"/>
    <w:uiPriority w:val="22"/>
    <w:qFormat/>
    <w:rsid w:val="007D16A5"/>
    <w:rPr>
      <w:b/>
      <w:bCs/>
    </w:rPr>
  </w:style>
  <w:style w:type="character" w:styleId="Hyperlink">
    <w:name w:val="Hyperlink"/>
    <w:basedOn w:val="DefaultParagraphFont"/>
    <w:uiPriority w:val="99"/>
    <w:semiHidden/>
    <w:unhideWhenUsed/>
    <w:rsid w:val="007D16A5"/>
    <w:rPr>
      <w:color w:val="0000FF"/>
      <w:u w:val="single"/>
    </w:rPr>
  </w:style>
  <w:style w:type="paragraph" w:styleId="NormalWeb">
    <w:name w:val="Normal (Web)"/>
    <w:basedOn w:val="Normal"/>
    <w:uiPriority w:val="99"/>
    <w:semiHidden/>
    <w:unhideWhenUsed/>
    <w:rsid w:val="007D16A5"/>
    <w:pPr>
      <w:spacing w:before="100" w:beforeAutospacing="1" w:after="100" w:afterAutospacing="1"/>
    </w:pPr>
    <w:rPr>
      <w:rFonts w:eastAsiaTheme="minorHAnsi"/>
      <w:lang w:eastAsia="lv-LV"/>
    </w:rPr>
  </w:style>
  <w:style w:type="character" w:customStyle="1" w:styleId="gmail-m5603713490629329872c1">
    <w:name w:val="gmail-m_5603713490629329872c1"/>
    <w:basedOn w:val="DefaultParagraphFont"/>
    <w:rsid w:val="007D16A5"/>
  </w:style>
  <w:style w:type="paragraph" w:styleId="ListParagraph">
    <w:name w:val="List Paragraph"/>
    <w:basedOn w:val="Normal"/>
    <w:uiPriority w:val="34"/>
    <w:qFormat/>
    <w:rsid w:val="007D1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coleparmer.com/i/cole-parmer-ptfe-nonsterile-syringe-filters-0-20-micron-25-mm-dia/0291520?searchterm=EW-02915-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1936</Words>
  <Characters>1105</Characters>
  <Application>Microsoft Office Word</Application>
  <DocSecurity>0</DocSecurity>
  <Lines>9</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2018-01-02T15:13:00Z</dcterms:created>
  <dcterms:modified xsi:type="dcterms:W3CDTF">2018-01-02T15:18:00Z</dcterms:modified>
</cp:coreProperties>
</file>